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FE7C" w14:textId="77777777" w:rsidR="00957148" w:rsidRPr="003360A8" w:rsidRDefault="00957148" w:rsidP="00957148">
      <w:pPr>
        <w:shd w:val="clear" w:color="auto" w:fill="FFFFFF"/>
        <w:spacing w:before="100" w:beforeAutospacing="1" w:after="100" w:afterAutospacing="1" w:line="240" w:lineRule="auto"/>
        <w:jc w:val="left"/>
        <w:outlineLvl w:val="1"/>
        <w:rPr>
          <w:rFonts w:ascii="Times New Roman" w:eastAsia="Times New Roman" w:hAnsi="Times New Roman" w:cs="Times New Roman"/>
          <w:b/>
          <w:bCs/>
          <w:sz w:val="28"/>
          <w:szCs w:val="28"/>
          <w:lang w:eastAsia="it-IT"/>
        </w:rPr>
      </w:pPr>
      <w:r>
        <w:rPr>
          <w:rFonts w:ascii="Times New Roman" w:eastAsia="Times New Roman" w:hAnsi="Times New Roman" w:cs="Times New Roman"/>
          <w:b/>
          <w:bCs/>
          <w:sz w:val="28"/>
          <w:szCs w:val="28"/>
          <w:lang w:eastAsia="it-IT"/>
        </w:rPr>
        <w:t xml:space="preserve">CUADERNOS AISPI </w:t>
      </w:r>
      <w:r w:rsidRPr="003360A8">
        <w:rPr>
          <w:rFonts w:ascii="Times New Roman" w:eastAsia="Times New Roman" w:hAnsi="Times New Roman" w:cs="Times New Roman"/>
          <w:b/>
          <w:bCs/>
          <w:sz w:val="28"/>
          <w:szCs w:val="28"/>
          <w:lang w:eastAsia="it-IT"/>
        </w:rPr>
        <w:t>24/2024</w:t>
      </w:r>
    </w:p>
    <w:p w14:paraId="1AA5CF90" w14:textId="77777777" w:rsidR="00957148" w:rsidRPr="004D04A6" w:rsidRDefault="00957148" w:rsidP="00957148">
      <w:pPr>
        <w:spacing w:after="60"/>
        <w:rPr>
          <w:rFonts w:ascii="Times New Roman" w:hAnsi="Times New Roman" w:cs="Times New Roman"/>
          <w:shd w:val="clear" w:color="auto" w:fill="FFFFFF"/>
        </w:rPr>
      </w:pPr>
    </w:p>
    <w:p w14:paraId="66188C2B" w14:textId="77777777" w:rsidR="00957148" w:rsidRPr="004D04A6" w:rsidRDefault="00957148" w:rsidP="00957148">
      <w:pPr>
        <w:spacing w:after="60"/>
        <w:rPr>
          <w:rFonts w:ascii="Times New Roman" w:hAnsi="Times New Roman" w:cs="Times New Roman"/>
          <w:shd w:val="clear" w:color="auto" w:fill="FFFFFF"/>
        </w:rPr>
      </w:pPr>
      <w:r w:rsidRPr="004D04A6">
        <w:rPr>
          <w:rFonts w:ascii="Times New Roman" w:hAnsi="Times New Roman" w:cs="Times New Roman"/>
          <w:b/>
          <w:shd w:val="clear" w:color="auto" w:fill="FFFFFF"/>
        </w:rPr>
        <w:t>Plazo de envío de propuestas y resúmenes</w:t>
      </w:r>
      <w:r w:rsidRPr="004D04A6">
        <w:rPr>
          <w:rFonts w:ascii="Times New Roman" w:hAnsi="Times New Roman" w:cs="Times New Roman"/>
          <w:shd w:val="clear" w:color="auto" w:fill="FFFFFF"/>
        </w:rPr>
        <w:t>: 31 de julio de 2023</w:t>
      </w:r>
    </w:p>
    <w:p w14:paraId="56C64B0D" w14:textId="77777777" w:rsidR="00957148" w:rsidRPr="004D04A6" w:rsidRDefault="00957148" w:rsidP="00957148">
      <w:pPr>
        <w:spacing w:after="60"/>
        <w:rPr>
          <w:rFonts w:ascii="Times New Roman" w:hAnsi="Times New Roman" w:cs="Times New Roman"/>
          <w:shd w:val="clear" w:color="auto" w:fill="FFFFFF"/>
        </w:rPr>
      </w:pPr>
      <w:r w:rsidRPr="004D04A6">
        <w:rPr>
          <w:rFonts w:ascii="Times New Roman" w:hAnsi="Times New Roman" w:cs="Times New Roman"/>
          <w:b/>
          <w:shd w:val="clear" w:color="auto" w:fill="FFFFFF"/>
        </w:rPr>
        <w:t>Plazo de envío de originales</w:t>
      </w:r>
      <w:r w:rsidRPr="004D04A6">
        <w:rPr>
          <w:rFonts w:ascii="Times New Roman" w:hAnsi="Times New Roman" w:cs="Times New Roman"/>
          <w:shd w:val="clear" w:color="auto" w:fill="FFFFFF"/>
        </w:rPr>
        <w:t>: 31 de diciembre de 2023</w:t>
      </w:r>
    </w:p>
    <w:p w14:paraId="103A0E1D" w14:textId="77777777" w:rsidR="00957148" w:rsidRPr="004D04A6" w:rsidRDefault="00957148" w:rsidP="00957148">
      <w:pPr>
        <w:spacing w:after="60"/>
        <w:rPr>
          <w:rFonts w:ascii="Times New Roman" w:hAnsi="Times New Roman" w:cs="Times New Roman"/>
          <w:shd w:val="clear" w:color="auto" w:fill="FFFFFF"/>
        </w:rPr>
      </w:pPr>
      <w:r w:rsidRPr="004D04A6">
        <w:rPr>
          <w:rFonts w:ascii="Times New Roman" w:hAnsi="Times New Roman" w:cs="Times New Roman"/>
          <w:b/>
          <w:shd w:val="clear" w:color="auto" w:fill="FFFFFF"/>
        </w:rPr>
        <w:t>Fecha prevista de publicación</w:t>
      </w:r>
      <w:r w:rsidRPr="004D04A6">
        <w:rPr>
          <w:rFonts w:ascii="Times New Roman" w:hAnsi="Times New Roman" w:cs="Times New Roman"/>
          <w:shd w:val="clear" w:color="auto" w:fill="FFFFFF"/>
        </w:rPr>
        <w:t>: diciembre de 2024</w:t>
      </w:r>
    </w:p>
    <w:p w14:paraId="1E3C2097" w14:textId="77777777" w:rsidR="00957148" w:rsidRPr="004D04A6" w:rsidRDefault="00957148" w:rsidP="00957148">
      <w:pPr>
        <w:spacing w:after="60"/>
        <w:rPr>
          <w:rFonts w:ascii="Times New Roman" w:hAnsi="Times New Roman" w:cs="Times New Roman"/>
        </w:rPr>
      </w:pPr>
      <w:r w:rsidRPr="004D04A6">
        <w:rPr>
          <w:rFonts w:ascii="Times New Roman" w:hAnsi="Times New Roman" w:cs="Times New Roman"/>
          <w:b/>
        </w:rPr>
        <w:t>Monográfico</w:t>
      </w:r>
      <w:r w:rsidRPr="004D04A6">
        <w:rPr>
          <w:rFonts w:ascii="Times New Roman" w:hAnsi="Times New Roman" w:cs="Times New Roman"/>
        </w:rPr>
        <w:t xml:space="preserve">: </w:t>
      </w:r>
      <w:r w:rsidRPr="00EA3650">
        <w:rPr>
          <w:rFonts w:ascii="Times New Roman" w:hAnsi="Times New Roman" w:cs="Times New Roman"/>
          <w:i/>
          <w:iCs/>
        </w:rPr>
        <w:t>¿Cómo comunican los gobiernos? La comunicación gubernamental en la red</w:t>
      </w:r>
    </w:p>
    <w:p w14:paraId="03BB0139" w14:textId="77777777" w:rsidR="00957148" w:rsidRDefault="00957148" w:rsidP="00957148">
      <w:pPr>
        <w:spacing w:after="0" w:line="240" w:lineRule="auto"/>
        <w:rPr>
          <w:rFonts w:ascii="Times New Roman" w:hAnsi="Times New Roman" w:cs="Times New Roman"/>
          <w:lang w:val="it-IT"/>
        </w:rPr>
      </w:pPr>
      <w:r w:rsidRPr="00EA3650">
        <w:rPr>
          <w:rFonts w:ascii="Times New Roman" w:hAnsi="Times New Roman" w:cs="Times New Roman"/>
          <w:b/>
          <w:lang w:val="it-IT"/>
        </w:rPr>
        <w:t>Editoras</w:t>
      </w:r>
      <w:r w:rsidRPr="00EA3650">
        <w:rPr>
          <w:rFonts w:ascii="Times New Roman" w:hAnsi="Times New Roman" w:cs="Times New Roman"/>
          <w:lang w:val="it-IT"/>
        </w:rPr>
        <w:t>: Laura Mariottini (Sapienza Università di Roma)</w:t>
      </w:r>
    </w:p>
    <w:p w14:paraId="382A9C4F" w14:textId="77777777" w:rsidR="00957148" w:rsidRPr="00EA3650" w:rsidRDefault="00957148" w:rsidP="00957148">
      <w:pPr>
        <w:spacing w:after="0" w:line="240" w:lineRule="auto"/>
        <w:rPr>
          <w:rFonts w:ascii="Times New Roman" w:hAnsi="Times New Roman" w:cs="Times New Roman"/>
        </w:rPr>
      </w:pPr>
      <w:r w:rsidRPr="00EA3650">
        <w:rPr>
          <w:rFonts w:ascii="Times New Roman" w:hAnsi="Times New Roman" w:cs="Times New Roman"/>
        </w:rPr>
        <w:t>Beatriz Gallardo-Paúls (Universidad de Valencia)</w:t>
      </w:r>
    </w:p>
    <w:p w14:paraId="55BB49CE" w14:textId="77777777" w:rsidR="00957148" w:rsidRPr="00EA3650" w:rsidRDefault="00957148" w:rsidP="00957148">
      <w:pPr>
        <w:spacing w:after="60"/>
        <w:rPr>
          <w:rFonts w:ascii="Times New Roman" w:hAnsi="Times New Roman" w:cs="Times New Roman"/>
        </w:rPr>
      </w:pPr>
    </w:p>
    <w:p w14:paraId="0D0B4C24" w14:textId="77777777" w:rsidR="00957148" w:rsidRPr="004D04A6" w:rsidRDefault="00957148" w:rsidP="00957148">
      <w:pPr>
        <w:rPr>
          <w:rFonts w:ascii="Times New Roman" w:hAnsi="Times New Roman" w:cs="Times New Roman"/>
        </w:rPr>
      </w:pPr>
      <w:r w:rsidRPr="004D04A6">
        <w:rPr>
          <w:rFonts w:ascii="Times New Roman" w:hAnsi="Times New Roman" w:cs="Times New Roman"/>
        </w:rPr>
        <w:t xml:space="preserve">El análisis del discurso político se ha centrado mayormente en considerar los textos y discursos de líderes y partidos políticos. Pero, ¿cómo comunican las instituciones políticas gubernamentales? Este es el interrogante principal al que pretendemos responder con este número monográfico, enfocado en la comunicación política institucional que diseñan los gobiernos de cualquier nivel. </w:t>
      </w:r>
    </w:p>
    <w:p w14:paraId="0574AE90" w14:textId="77777777" w:rsidR="00957148" w:rsidRPr="004D04A6" w:rsidRDefault="00957148" w:rsidP="00957148">
      <w:pPr>
        <w:rPr>
          <w:rFonts w:ascii="Times New Roman" w:hAnsi="Times New Roman" w:cs="Times New Roman"/>
          <w:shd w:val="clear" w:color="auto" w:fill="FFFFFF"/>
        </w:rPr>
      </w:pPr>
      <w:r w:rsidRPr="004D04A6">
        <w:rPr>
          <w:rFonts w:ascii="Times New Roman" w:hAnsi="Times New Roman" w:cs="Times New Roman"/>
          <w:shd w:val="clear" w:color="auto" w:fill="FFFFFF"/>
        </w:rPr>
        <w:t>La noción de “Comunicación Política Institucional” no es algo nuevo dentro de las disciplinas que estudian la lengua y el discurso. En efecto, son numerosos los estudios sobre “comunicación institucional y corporativa” y también existe ingente bibliografía sobre la lengua de la Administración Pública, principalmente en términos de simplificación y comprensibilidad, y en torno a estilos comunicativos de museos y universidades.</w:t>
      </w:r>
    </w:p>
    <w:p w14:paraId="6859879A" w14:textId="77777777" w:rsidR="00957148" w:rsidRPr="004D04A6" w:rsidRDefault="00957148" w:rsidP="00957148">
      <w:pPr>
        <w:rPr>
          <w:rFonts w:ascii="Times New Roman" w:hAnsi="Times New Roman" w:cs="Times New Roman"/>
          <w:shd w:val="clear" w:color="auto" w:fill="FFFFFF"/>
        </w:rPr>
      </w:pPr>
      <w:r w:rsidRPr="004D04A6">
        <w:rPr>
          <w:rFonts w:ascii="Times New Roman" w:hAnsi="Times New Roman" w:cs="Times New Roman"/>
          <w:shd w:val="clear" w:color="auto" w:fill="FFFFFF"/>
        </w:rPr>
        <w:t xml:space="preserve">Partimos necesariamente de bases teóricas desarrolladas en tales disciplinas, para indagar, en una dimensión específicamente discursiva (Gallardo, 2014 y ss.), </w:t>
      </w:r>
      <w:r w:rsidRPr="004D04A6">
        <w:rPr>
          <w:rFonts w:ascii="Times New Roman" w:hAnsi="Times New Roman" w:cs="Times New Roman"/>
        </w:rPr>
        <w:t xml:space="preserve">cómo </w:t>
      </w:r>
      <w:r w:rsidRPr="004D04A6">
        <w:rPr>
          <w:rFonts w:ascii="Times New Roman" w:hAnsi="Times New Roman" w:cs="Times New Roman"/>
          <w:i/>
        </w:rPr>
        <w:t xml:space="preserve">los gobiernos y sus entidades </w:t>
      </w:r>
      <w:r w:rsidRPr="004D04A6">
        <w:rPr>
          <w:rFonts w:ascii="Times New Roman" w:hAnsi="Times New Roman" w:cs="Times New Roman"/>
        </w:rPr>
        <w:t xml:space="preserve">(jefaturas/presidencias de gobierno, parlamentos, ayuntamientos, ministerios, consejerías, etc.) construyen una voz propia no personalista que prescinde de la intermediación clásica periodística e interpela directamente al ciudadano ‒a los gobernados‒, con la finalidad básica de implicarlo democráticamente en la gestión del bien común y, en última instancia, de conseguir su voto en la situación de “campaña permanente” descrita por Brumenthal (1980). </w:t>
      </w:r>
      <w:r w:rsidRPr="004D04A6">
        <w:rPr>
          <w:rFonts w:ascii="Times New Roman" w:hAnsi="Times New Roman" w:cs="Times New Roman"/>
          <w:shd w:val="clear" w:color="auto" w:fill="FFFFFF"/>
        </w:rPr>
        <w:t>La red y las nuevas dinámicas comunicativas públicas, además, generan unos ritmos y flujos comunicativos específicos (“comunicación en cascada”, Entman 2003) que afectan al modo en que los gobiernos se comunican con los ciudadanos, propiciando retóricas cacofónicas (Dahlgren 2004) e hiperbólicas (Gallardo 2018) cuya descripción lingüístico-discursiva no ha recibido la suficiente atención y que deberían indagarse en términos de: estructuras discursivas, actividades de imagen, identidad de marca, o estrategias argumentativas, persuasivas e interactivas, solo por mencionar algunos aspectos.</w:t>
      </w:r>
    </w:p>
    <w:p w14:paraId="4DB40F1D" w14:textId="77777777" w:rsidR="00957148" w:rsidRPr="004D04A6" w:rsidRDefault="00957148" w:rsidP="00957148">
      <w:pPr>
        <w:rPr>
          <w:rFonts w:ascii="Times New Roman" w:hAnsi="Times New Roman" w:cs="Times New Roman"/>
          <w:shd w:val="clear" w:color="auto" w:fill="FFFFFF"/>
        </w:rPr>
      </w:pPr>
      <w:r w:rsidRPr="004D04A6">
        <w:rPr>
          <w:rFonts w:ascii="Times New Roman" w:hAnsi="Times New Roman" w:cs="Times New Roman"/>
        </w:rPr>
        <w:t>Por lo tanto, los temas sobre los que pueden versar las contribuciones son:</w:t>
      </w:r>
    </w:p>
    <w:p w14:paraId="0FB4A228" w14:textId="77777777" w:rsidR="00957148" w:rsidRPr="004D04A6" w:rsidRDefault="00957148" w:rsidP="00957148">
      <w:pPr>
        <w:pStyle w:val="Paragrafoelenco"/>
        <w:numPr>
          <w:ilvl w:val="0"/>
          <w:numId w:val="1"/>
        </w:numPr>
        <w:rPr>
          <w:rFonts w:ascii="Times New Roman" w:hAnsi="Times New Roman" w:cs="Times New Roman"/>
        </w:rPr>
      </w:pPr>
      <w:r w:rsidRPr="004D04A6">
        <w:rPr>
          <w:rFonts w:ascii="Times New Roman" w:hAnsi="Times New Roman" w:cs="Times New Roman"/>
        </w:rPr>
        <w:t>La Comunicación Política Gubernamental (CPG): definiciones y aproximaciones teóricas</w:t>
      </w:r>
    </w:p>
    <w:p w14:paraId="1FBD8B1C" w14:textId="77777777" w:rsidR="00957148" w:rsidRPr="004D04A6" w:rsidRDefault="00957148" w:rsidP="00957148">
      <w:pPr>
        <w:pStyle w:val="Paragrafoelenco"/>
        <w:numPr>
          <w:ilvl w:val="0"/>
          <w:numId w:val="1"/>
        </w:numPr>
        <w:rPr>
          <w:rFonts w:ascii="Times New Roman" w:hAnsi="Times New Roman" w:cs="Times New Roman"/>
        </w:rPr>
      </w:pPr>
      <w:r w:rsidRPr="004D04A6">
        <w:rPr>
          <w:rFonts w:ascii="Times New Roman" w:hAnsi="Times New Roman" w:cs="Times New Roman"/>
        </w:rPr>
        <w:t>Herramientas metodológicas para el estudio de la CPG</w:t>
      </w:r>
    </w:p>
    <w:p w14:paraId="458E7BF3" w14:textId="77777777" w:rsidR="00957148" w:rsidRPr="004D04A6" w:rsidRDefault="00957148" w:rsidP="00957148">
      <w:pPr>
        <w:pStyle w:val="Paragrafoelenco"/>
        <w:numPr>
          <w:ilvl w:val="0"/>
          <w:numId w:val="1"/>
        </w:numPr>
        <w:rPr>
          <w:rFonts w:ascii="Times New Roman" w:hAnsi="Times New Roman" w:cs="Times New Roman"/>
        </w:rPr>
      </w:pPr>
      <w:r w:rsidRPr="004D04A6">
        <w:rPr>
          <w:rFonts w:ascii="Times New Roman" w:hAnsi="Times New Roman" w:cs="Times New Roman"/>
        </w:rPr>
        <w:t>Géneros de CPG: notas de prensa, webs, redes sociales, newsletters y boletines, campañas, otros</w:t>
      </w:r>
    </w:p>
    <w:p w14:paraId="0635FDC3" w14:textId="77777777" w:rsidR="00957148" w:rsidRPr="004D04A6" w:rsidRDefault="00957148" w:rsidP="00957148">
      <w:pPr>
        <w:pStyle w:val="Paragrafoelenco"/>
        <w:numPr>
          <w:ilvl w:val="0"/>
          <w:numId w:val="1"/>
        </w:numPr>
        <w:rPr>
          <w:rFonts w:ascii="Times New Roman" w:hAnsi="Times New Roman" w:cs="Times New Roman"/>
        </w:rPr>
      </w:pPr>
      <w:r w:rsidRPr="004D04A6">
        <w:rPr>
          <w:rFonts w:ascii="Times New Roman" w:hAnsi="Times New Roman" w:cs="Times New Roman"/>
        </w:rPr>
        <w:t>CPG y multilingüismo</w:t>
      </w:r>
    </w:p>
    <w:p w14:paraId="6054C534" w14:textId="77777777" w:rsidR="00957148" w:rsidRPr="004D04A6" w:rsidRDefault="00957148" w:rsidP="00957148">
      <w:pPr>
        <w:pStyle w:val="Paragrafoelenco"/>
        <w:numPr>
          <w:ilvl w:val="0"/>
          <w:numId w:val="1"/>
        </w:numPr>
        <w:rPr>
          <w:rFonts w:ascii="Times New Roman" w:hAnsi="Times New Roman" w:cs="Times New Roman"/>
        </w:rPr>
      </w:pPr>
      <w:r w:rsidRPr="004D04A6">
        <w:rPr>
          <w:rFonts w:ascii="Times New Roman" w:hAnsi="Times New Roman" w:cs="Times New Roman"/>
        </w:rPr>
        <w:t>CPG y traducción</w:t>
      </w:r>
    </w:p>
    <w:p w14:paraId="2F1E51E7" w14:textId="77777777" w:rsidR="00957148" w:rsidRPr="004D04A6" w:rsidRDefault="00957148" w:rsidP="00957148">
      <w:pPr>
        <w:pStyle w:val="Paragrafoelenco"/>
        <w:numPr>
          <w:ilvl w:val="0"/>
          <w:numId w:val="1"/>
        </w:numPr>
        <w:rPr>
          <w:rFonts w:ascii="Times New Roman" w:hAnsi="Times New Roman" w:cs="Times New Roman"/>
        </w:rPr>
      </w:pPr>
      <w:r w:rsidRPr="004D04A6">
        <w:rPr>
          <w:rFonts w:ascii="Times New Roman" w:hAnsi="Times New Roman" w:cs="Times New Roman"/>
        </w:rPr>
        <w:t>CPG y actividades de imagen</w:t>
      </w:r>
    </w:p>
    <w:p w14:paraId="562D197E" w14:textId="77777777" w:rsidR="00957148" w:rsidRDefault="00957148" w:rsidP="00957148">
      <w:pPr>
        <w:pStyle w:val="Paragrafoelenco"/>
        <w:numPr>
          <w:ilvl w:val="0"/>
          <w:numId w:val="1"/>
        </w:numPr>
        <w:rPr>
          <w:rFonts w:ascii="Times New Roman" w:hAnsi="Times New Roman" w:cs="Times New Roman"/>
        </w:rPr>
      </w:pPr>
      <w:r w:rsidRPr="004D04A6">
        <w:rPr>
          <w:rFonts w:ascii="Times New Roman" w:hAnsi="Times New Roman" w:cs="Times New Roman"/>
        </w:rPr>
        <w:t>CPG y multimodalidad</w:t>
      </w:r>
    </w:p>
    <w:p w14:paraId="4FCB1E8B" w14:textId="1B37EC0A" w:rsidR="009B3C74" w:rsidRDefault="00957148" w:rsidP="00957148">
      <w:pPr>
        <w:pStyle w:val="Paragrafoelenco"/>
        <w:numPr>
          <w:ilvl w:val="0"/>
          <w:numId w:val="1"/>
        </w:numPr>
        <w:rPr>
          <w:rFonts w:ascii="Times New Roman" w:hAnsi="Times New Roman" w:cs="Times New Roman"/>
        </w:rPr>
      </w:pPr>
      <w:r w:rsidRPr="00957148">
        <w:rPr>
          <w:rFonts w:ascii="Times New Roman" w:hAnsi="Times New Roman" w:cs="Times New Roman"/>
        </w:rPr>
        <w:t>CPG y desinformación</w:t>
      </w:r>
    </w:p>
    <w:p w14:paraId="4B66F960" w14:textId="01146109" w:rsidR="00957148" w:rsidRDefault="00957148" w:rsidP="00957148">
      <w:pPr>
        <w:rPr>
          <w:rFonts w:ascii="Times New Roman" w:hAnsi="Times New Roman" w:cs="Times New Roman"/>
        </w:rPr>
      </w:pPr>
    </w:p>
    <w:p w14:paraId="05DB4960" w14:textId="489A96B5" w:rsidR="00957148" w:rsidRDefault="00957148" w:rsidP="00957148">
      <w:pPr>
        <w:rPr>
          <w:rFonts w:ascii="Times New Roman" w:hAnsi="Times New Roman" w:cs="Times New Roman"/>
        </w:rPr>
      </w:pPr>
    </w:p>
    <w:p w14:paraId="6D9470E1" w14:textId="72BB617E" w:rsidR="00957148" w:rsidRDefault="00957148" w:rsidP="00957148">
      <w:pPr>
        <w:rPr>
          <w:rFonts w:ascii="Times New Roman" w:hAnsi="Times New Roman" w:cs="Times New Roman"/>
        </w:rPr>
      </w:pPr>
    </w:p>
    <w:p w14:paraId="1998256C" w14:textId="7CE06371" w:rsidR="00957148" w:rsidRDefault="00957148" w:rsidP="00957148">
      <w:pPr>
        <w:rPr>
          <w:rFonts w:ascii="Times New Roman" w:hAnsi="Times New Roman" w:cs="Times New Roman"/>
        </w:rPr>
      </w:pPr>
    </w:p>
    <w:p w14:paraId="4753E3A1" w14:textId="785081CF" w:rsidR="00957148" w:rsidRDefault="00957148" w:rsidP="00957148">
      <w:pPr>
        <w:rPr>
          <w:rFonts w:ascii="Times New Roman" w:hAnsi="Times New Roman" w:cs="Times New Roman"/>
        </w:rPr>
      </w:pPr>
    </w:p>
    <w:p w14:paraId="42D0E505" w14:textId="77777777" w:rsidR="00BB26C8" w:rsidRDefault="00BB26C8" w:rsidP="00957148">
      <w:pPr>
        <w:spacing w:line="240" w:lineRule="auto"/>
        <w:rPr>
          <w:rFonts w:ascii="Times New Roman" w:hAnsi="Times New Roman" w:cs="Times New Roman"/>
          <w:b/>
          <w:bCs/>
          <w:sz w:val="28"/>
          <w:szCs w:val="28"/>
        </w:rPr>
      </w:pPr>
    </w:p>
    <w:p w14:paraId="6DB742DB" w14:textId="03D2A357" w:rsidR="00957148" w:rsidRPr="0044099D" w:rsidRDefault="00957148" w:rsidP="00957148">
      <w:pPr>
        <w:spacing w:line="240" w:lineRule="auto"/>
        <w:rPr>
          <w:rFonts w:ascii="Times New Roman" w:hAnsi="Times New Roman" w:cs="Times New Roman"/>
          <w:b/>
          <w:bCs/>
          <w:sz w:val="28"/>
          <w:szCs w:val="28"/>
        </w:rPr>
      </w:pPr>
      <w:r>
        <w:rPr>
          <w:rFonts w:ascii="Times New Roman" w:hAnsi="Times New Roman" w:cs="Times New Roman"/>
          <w:b/>
          <w:bCs/>
          <w:sz w:val="28"/>
          <w:szCs w:val="28"/>
        </w:rPr>
        <w:t xml:space="preserve">CUADERNOS AISPI </w:t>
      </w:r>
      <w:r w:rsidRPr="0044099D">
        <w:rPr>
          <w:rFonts w:ascii="Times New Roman" w:hAnsi="Times New Roman" w:cs="Times New Roman"/>
          <w:b/>
          <w:bCs/>
          <w:sz w:val="28"/>
          <w:szCs w:val="28"/>
        </w:rPr>
        <w:t>25/2025</w:t>
      </w:r>
    </w:p>
    <w:p w14:paraId="2A8CCB2A" w14:textId="77777777" w:rsidR="00957148" w:rsidRDefault="00957148" w:rsidP="00957148">
      <w:pPr>
        <w:spacing w:line="240" w:lineRule="auto"/>
        <w:rPr>
          <w:rFonts w:ascii="Times New Roman" w:hAnsi="Times New Roman" w:cs="Times New Roman"/>
          <w:b/>
          <w:bCs/>
        </w:rPr>
      </w:pPr>
    </w:p>
    <w:p w14:paraId="5DAB360D" w14:textId="77777777" w:rsidR="00957148" w:rsidRDefault="00957148" w:rsidP="00957148">
      <w:pPr>
        <w:spacing w:after="0" w:line="240" w:lineRule="auto"/>
        <w:rPr>
          <w:rFonts w:ascii="Times New Roman" w:hAnsi="Times New Roman" w:cs="Times New Roman"/>
        </w:rPr>
      </w:pPr>
      <w:r w:rsidRPr="00580584">
        <w:rPr>
          <w:rFonts w:ascii="Times New Roman" w:hAnsi="Times New Roman" w:cs="Times New Roman"/>
          <w:b/>
          <w:bCs/>
        </w:rPr>
        <w:t xml:space="preserve">Plazo de envío de propuestas y resúmenes: </w:t>
      </w:r>
      <w:r w:rsidRPr="001824C3">
        <w:rPr>
          <w:rFonts w:ascii="Times New Roman" w:hAnsi="Times New Roman" w:cs="Times New Roman"/>
        </w:rPr>
        <w:t>31 de octubre de 2023</w:t>
      </w:r>
    </w:p>
    <w:p w14:paraId="61EFDBA0" w14:textId="77777777" w:rsidR="00957148" w:rsidRDefault="00957148" w:rsidP="00957148">
      <w:pPr>
        <w:spacing w:after="0" w:line="240" w:lineRule="auto"/>
        <w:rPr>
          <w:rFonts w:ascii="Times New Roman" w:hAnsi="Times New Roman" w:cs="Times New Roman"/>
        </w:rPr>
      </w:pPr>
      <w:r w:rsidRPr="001824C3">
        <w:rPr>
          <w:rFonts w:ascii="Times New Roman" w:hAnsi="Times New Roman" w:cs="Times New Roman"/>
        </w:rPr>
        <w:br/>
      </w:r>
      <w:r w:rsidRPr="00580584">
        <w:rPr>
          <w:rFonts w:ascii="Times New Roman" w:hAnsi="Times New Roman" w:cs="Times New Roman"/>
          <w:b/>
          <w:bCs/>
        </w:rPr>
        <w:t xml:space="preserve">Plazo de envío de originales: </w:t>
      </w:r>
      <w:r w:rsidRPr="001824C3">
        <w:rPr>
          <w:rFonts w:ascii="Times New Roman" w:hAnsi="Times New Roman" w:cs="Times New Roman"/>
        </w:rPr>
        <w:t>30 de junio de 2024</w:t>
      </w:r>
    </w:p>
    <w:p w14:paraId="4EB845F6" w14:textId="77777777" w:rsidR="00957148" w:rsidRDefault="00957148" w:rsidP="00957148">
      <w:pPr>
        <w:spacing w:after="0" w:line="240" w:lineRule="auto"/>
        <w:rPr>
          <w:rFonts w:ascii="Times New Roman" w:hAnsi="Times New Roman" w:cs="Times New Roman"/>
        </w:rPr>
      </w:pPr>
      <w:r w:rsidRPr="00580584">
        <w:rPr>
          <w:rFonts w:ascii="Times New Roman" w:hAnsi="Times New Roman" w:cs="Times New Roman"/>
          <w:b/>
          <w:bCs/>
        </w:rPr>
        <w:br/>
        <w:t xml:space="preserve">Fecha prevista de publicación: </w:t>
      </w:r>
      <w:r w:rsidRPr="001824C3">
        <w:rPr>
          <w:rFonts w:ascii="Times New Roman" w:hAnsi="Times New Roman" w:cs="Times New Roman"/>
        </w:rPr>
        <w:t>julio de 2025</w:t>
      </w:r>
    </w:p>
    <w:p w14:paraId="765ACA9E" w14:textId="49C9686F" w:rsidR="00957148" w:rsidRPr="00580584" w:rsidRDefault="00957148" w:rsidP="00957148">
      <w:pPr>
        <w:spacing w:after="0" w:line="240" w:lineRule="auto"/>
        <w:rPr>
          <w:rFonts w:ascii="Times New Roman" w:hAnsi="Times New Roman" w:cs="Times New Roman"/>
          <w:b/>
          <w:bCs/>
        </w:rPr>
      </w:pPr>
      <w:r w:rsidRPr="00580584">
        <w:rPr>
          <w:rFonts w:ascii="Times New Roman" w:hAnsi="Times New Roman" w:cs="Times New Roman"/>
          <w:b/>
          <w:bCs/>
        </w:rPr>
        <w:br/>
        <w:t xml:space="preserve">Monográfico: </w:t>
      </w:r>
      <w:r w:rsidRPr="001824C3">
        <w:rPr>
          <w:rFonts w:ascii="Times New Roman" w:hAnsi="Times New Roman" w:cs="Times New Roman"/>
          <w:i/>
          <w:iCs/>
        </w:rPr>
        <w:t>Carmen Martín Gaite y la no-ficción</w:t>
      </w:r>
    </w:p>
    <w:p w14:paraId="3AAB765C" w14:textId="77777777" w:rsidR="00957148" w:rsidRDefault="00957148" w:rsidP="00957148">
      <w:pPr>
        <w:spacing w:after="0" w:line="240" w:lineRule="auto"/>
        <w:rPr>
          <w:rFonts w:ascii="Times New Roman" w:hAnsi="Times New Roman" w:cs="Times New Roman"/>
          <w:b/>
          <w:bCs/>
          <w:lang w:val="it-IT"/>
        </w:rPr>
      </w:pPr>
    </w:p>
    <w:p w14:paraId="141C10BA" w14:textId="4A79B898" w:rsidR="00957148" w:rsidRPr="00580584" w:rsidRDefault="00957148" w:rsidP="00957148">
      <w:pPr>
        <w:spacing w:after="0" w:line="240" w:lineRule="auto"/>
        <w:rPr>
          <w:rFonts w:ascii="Times New Roman" w:hAnsi="Times New Roman" w:cs="Times New Roman"/>
          <w:lang w:val="it-IT"/>
        </w:rPr>
      </w:pPr>
      <w:r w:rsidRPr="00580584">
        <w:rPr>
          <w:rFonts w:ascii="Times New Roman" w:hAnsi="Times New Roman" w:cs="Times New Roman"/>
          <w:b/>
          <w:bCs/>
          <w:lang w:val="it-IT"/>
        </w:rPr>
        <w:t>Editores</w:t>
      </w:r>
      <w:r w:rsidRPr="00580584">
        <w:rPr>
          <w:rFonts w:ascii="Times New Roman" w:hAnsi="Times New Roman" w:cs="Times New Roman"/>
          <w:lang w:val="it-IT"/>
        </w:rPr>
        <w:t>: Maria Vittoria Calvi (Università degli Studi di Milano)</w:t>
      </w:r>
    </w:p>
    <w:p w14:paraId="13BA76D5" w14:textId="77777777" w:rsidR="00957148" w:rsidRDefault="00957148" w:rsidP="00957148">
      <w:pPr>
        <w:spacing w:after="0" w:line="240" w:lineRule="auto"/>
        <w:rPr>
          <w:rFonts w:ascii="Times New Roman" w:hAnsi="Times New Roman" w:cs="Times New Roman"/>
        </w:rPr>
      </w:pPr>
      <w:r w:rsidRPr="00580584">
        <w:rPr>
          <w:rFonts w:ascii="Times New Roman" w:hAnsi="Times New Roman" w:cs="Times New Roman"/>
        </w:rPr>
        <w:t>José Teruel Benavente (Universidad Autónoma de Madrid)</w:t>
      </w:r>
    </w:p>
    <w:p w14:paraId="736D72E3" w14:textId="77777777" w:rsidR="00957148" w:rsidRPr="00580584" w:rsidRDefault="00957148" w:rsidP="00957148">
      <w:pPr>
        <w:spacing w:line="240" w:lineRule="auto"/>
        <w:rPr>
          <w:rFonts w:ascii="Times New Roman" w:hAnsi="Times New Roman" w:cs="Times New Roman"/>
        </w:rPr>
      </w:pPr>
    </w:p>
    <w:p w14:paraId="48DD606E" w14:textId="77777777" w:rsidR="00957148" w:rsidRPr="00580584" w:rsidRDefault="00957148" w:rsidP="00957148">
      <w:pPr>
        <w:rPr>
          <w:rStyle w:val="Fuentedeprrafopredeter1"/>
          <w:rFonts w:ascii="Times New Roman" w:hAnsi="Times New Roman" w:cs="Times New Roman"/>
        </w:rPr>
      </w:pPr>
      <w:r w:rsidRPr="00580584">
        <w:rPr>
          <w:rFonts w:ascii="Times New Roman" w:hAnsi="Times New Roman" w:cs="Times New Roman"/>
        </w:rPr>
        <w:t xml:space="preserve">La publicación en 2002 de la primera edición de los </w:t>
      </w:r>
      <w:r w:rsidRPr="00580584">
        <w:rPr>
          <w:rFonts w:ascii="Times New Roman" w:hAnsi="Times New Roman" w:cs="Times New Roman"/>
          <w:i/>
          <w:iCs/>
        </w:rPr>
        <w:t>Cuadernos de todo</w:t>
      </w:r>
      <w:r w:rsidRPr="00580584">
        <w:rPr>
          <w:rFonts w:ascii="Times New Roman" w:hAnsi="Times New Roman" w:cs="Times New Roman"/>
        </w:rPr>
        <w:t xml:space="preserve"> demostró que la obra de </w:t>
      </w:r>
      <w:r w:rsidRPr="00580584">
        <w:rPr>
          <w:rStyle w:val="Fuentedeprrafopredeter1"/>
          <w:rFonts w:ascii="Times New Roman" w:hAnsi="Times New Roman" w:cs="Times New Roman"/>
        </w:rPr>
        <w:t xml:space="preserve">Carmen Martín Gaite </w:t>
      </w:r>
      <w:r w:rsidRPr="00580584">
        <w:rPr>
          <w:rFonts w:ascii="Times New Roman" w:hAnsi="Times New Roman" w:cs="Times New Roman"/>
        </w:rPr>
        <w:t>es un texto unitario que se despliega en distintos géneros y títulos. Más tarde l</w:t>
      </w:r>
      <w:r w:rsidRPr="00580584">
        <w:rPr>
          <w:rStyle w:val="Fuentedeprrafopredeter1"/>
          <w:rFonts w:ascii="Times New Roman" w:hAnsi="Times New Roman" w:cs="Times New Roman"/>
        </w:rPr>
        <w:t xml:space="preserve">a edición anotada de sus </w:t>
      </w:r>
      <w:r w:rsidRPr="00580584">
        <w:rPr>
          <w:rStyle w:val="Fuentedeprrafopredeter1"/>
          <w:rFonts w:ascii="Times New Roman" w:hAnsi="Times New Roman" w:cs="Times New Roman"/>
          <w:i/>
        </w:rPr>
        <w:t>Obras completas</w:t>
      </w:r>
      <w:r w:rsidRPr="00580584">
        <w:rPr>
          <w:rStyle w:val="Fuentedeprrafopredeter1"/>
          <w:rFonts w:ascii="Times New Roman" w:hAnsi="Times New Roman" w:cs="Times New Roman"/>
          <w:iCs/>
        </w:rPr>
        <w:t xml:space="preserve"> </w:t>
      </w:r>
      <w:r w:rsidRPr="00580584">
        <w:rPr>
          <w:rStyle w:val="Fuentedeprrafopredeter1"/>
          <w:rFonts w:ascii="Times New Roman" w:hAnsi="Times New Roman" w:cs="Times New Roman"/>
        </w:rPr>
        <w:t xml:space="preserve">en siete tomos (entre </w:t>
      </w:r>
      <w:r w:rsidRPr="00580584">
        <w:rPr>
          <w:rStyle w:val="Fuentedeprrafopredeter1"/>
          <w:rFonts w:ascii="Times New Roman" w:hAnsi="Times New Roman" w:cs="Times New Roman"/>
          <w:iCs/>
        </w:rPr>
        <w:t xml:space="preserve">2008 y 2019) </w:t>
      </w:r>
      <w:r w:rsidRPr="00580584">
        <w:rPr>
          <w:rStyle w:val="Fuentedeprrafopredeter1"/>
          <w:rFonts w:ascii="Times New Roman" w:hAnsi="Times New Roman" w:cs="Times New Roman"/>
        </w:rPr>
        <w:t>ha confirmado los vasos comunicantes y la permeabilidad entre todos los géneros literarios que cultivó la autora salmantina.</w:t>
      </w:r>
      <w:r>
        <w:rPr>
          <w:rStyle w:val="Fuentedeprrafopredeter1"/>
          <w:rFonts w:ascii="Times New Roman" w:hAnsi="Times New Roman" w:cs="Times New Roman"/>
        </w:rPr>
        <w:t xml:space="preserve"> </w:t>
      </w:r>
      <w:r w:rsidRPr="00580584">
        <w:rPr>
          <w:rStyle w:val="Fuentedeprrafopredeter1"/>
          <w:rFonts w:ascii="Times New Roman" w:hAnsi="Times New Roman" w:cs="Times New Roman"/>
        </w:rPr>
        <w:t xml:space="preserve">Con vistas al ya próximo centenario de su nacimiento, en 2025, queremos dedicar este monográfico a una serie de trabajos que arrojen nueva luz en el análisis de su obra de no-ficción. En el total de sus </w:t>
      </w:r>
      <w:r w:rsidRPr="00580584">
        <w:rPr>
          <w:rStyle w:val="Fuentedeprrafopredeter1"/>
          <w:rFonts w:ascii="Times New Roman" w:hAnsi="Times New Roman" w:cs="Times New Roman"/>
          <w:i/>
          <w:iCs/>
        </w:rPr>
        <w:t>Obras completas,</w:t>
      </w:r>
      <w:r w:rsidRPr="00580584">
        <w:rPr>
          <w:rStyle w:val="Fuentedeprrafopredeter1"/>
          <w:rFonts w:ascii="Times New Roman" w:hAnsi="Times New Roman" w:cs="Times New Roman"/>
        </w:rPr>
        <w:t xml:space="preserve"> dos volúmenes están dedicados a sus novelas, más un tercero a su narrativa breve, poesía y teatro, y los cuatro tomos restantes al ensayo, cuadernos, </w:t>
      </w:r>
      <w:r w:rsidRPr="00580584">
        <w:rPr>
          <w:rStyle w:val="Fuentedeprrafopredeter1"/>
          <w:rFonts w:ascii="Times New Roman" w:hAnsi="Times New Roman" w:cs="Times New Roman"/>
          <w:i/>
          <w:iCs/>
        </w:rPr>
        <w:t>collage</w:t>
      </w:r>
      <w:r w:rsidRPr="00580584">
        <w:rPr>
          <w:rStyle w:val="Fuentedeprrafopredeter1"/>
          <w:rFonts w:ascii="Times New Roman" w:hAnsi="Times New Roman" w:cs="Times New Roman"/>
        </w:rPr>
        <w:t xml:space="preserve"> y cartas. Por tanto, la tradicionalmente considerada “novelista” Carmen Martín Gaite fue también una ensayista, y no solo en términos cuantitativos sino también cualitativos. Reconocemos que Martín Gaite, como ensayista, historiadora, crítica literaria, conferenciante y cualquier otra modalidad de su variada producción intelectual, nunca depuso su condición de narradora: convirtió cualquier asunto en narración</w:t>
      </w:r>
      <w:bookmarkStart w:id="0" w:name="_Hlk120976381"/>
      <w:r w:rsidRPr="00580584">
        <w:rPr>
          <w:rStyle w:val="Fuentedeprrafopredeter1"/>
          <w:rFonts w:ascii="Times New Roman" w:hAnsi="Times New Roman" w:cs="Times New Roman"/>
        </w:rPr>
        <w:t xml:space="preserve">; pero también proponemos indagar en cómo la búsqueda y el encuentro con una voz </w:t>
      </w:r>
      <w:r w:rsidRPr="00580584">
        <w:rPr>
          <w:rStyle w:val="Fuentedeprrafopredeter1"/>
          <w:rFonts w:ascii="Times New Roman" w:hAnsi="Times New Roman" w:cs="Times New Roman"/>
          <w:i/>
          <w:iCs/>
        </w:rPr>
        <w:t>más</w:t>
      </w:r>
      <w:r w:rsidRPr="00580584">
        <w:rPr>
          <w:rStyle w:val="Fuentedeprrafopredeter1"/>
          <w:rFonts w:ascii="Times New Roman" w:hAnsi="Times New Roman" w:cs="Times New Roman"/>
        </w:rPr>
        <w:t xml:space="preserve"> personal y distintiva </w:t>
      </w:r>
      <w:r>
        <w:rPr>
          <w:rStyle w:val="Fuentedeprrafopredeter1"/>
          <w:rFonts w:ascii="Times New Roman" w:hAnsi="Times New Roman" w:cs="Times New Roman"/>
        </w:rPr>
        <w:t>‒</w:t>
      </w:r>
      <w:r w:rsidRPr="00580584">
        <w:rPr>
          <w:rStyle w:val="Fuentedeprrafopredeter1"/>
          <w:rFonts w:ascii="Times New Roman" w:hAnsi="Times New Roman" w:cs="Times New Roman"/>
        </w:rPr>
        <w:t>tanto en el seno de su generación, como en la cultura española contemporánea</w:t>
      </w:r>
      <w:r>
        <w:rPr>
          <w:rStyle w:val="Fuentedeprrafopredeter1"/>
          <w:rFonts w:ascii="Times New Roman" w:hAnsi="Times New Roman" w:cs="Times New Roman"/>
        </w:rPr>
        <w:t>‒</w:t>
      </w:r>
      <w:r w:rsidRPr="00580584">
        <w:rPr>
          <w:rStyle w:val="Fuentedeprrafopredeter1"/>
          <w:rFonts w:ascii="Times New Roman" w:hAnsi="Times New Roman" w:cs="Times New Roman"/>
        </w:rPr>
        <w:t xml:space="preserve"> la hallaremos en su práctica del ensayo o en aquella parte de su obra presidida por el pacto lector de la no-ficción.</w:t>
      </w:r>
    </w:p>
    <w:bookmarkEnd w:id="0"/>
    <w:p w14:paraId="6FC94070" w14:textId="77777777" w:rsidR="00957148" w:rsidRPr="00580584" w:rsidRDefault="00957148" w:rsidP="00957148">
      <w:pPr>
        <w:rPr>
          <w:rStyle w:val="Fuentedeprrafopredeter1"/>
          <w:rFonts w:ascii="Times New Roman" w:hAnsi="Times New Roman" w:cs="Times New Roman"/>
        </w:rPr>
      </w:pPr>
      <w:r w:rsidRPr="00580584">
        <w:rPr>
          <w:rStyle w:val="Fuentedeprrafopredeter1"/>
          <w:rFonts w:ascii="Times New Roman" w:hAnsi="Times New Roman" w:cs="Times New Roman"/>
        </w:rPr>
        <w:t xml:space="preserve">Las contribuciones de este volumen estarán dedicadas a temas relacionados con los siguientes títulos, todos reunidos en las </w:t>
      </w:r>
      <w:r w:rsidRPr="00580584">
        <w:rPr>
          <w:rStyle w:val="Fuentedeprrafopredeter1"/>
          <w:rFonts w:ascii="Times New Roman" w:hAnsi="Times New Roman" w:cs="Times New Roman"/>
          <w:i/>
          <w:iCs/>
        </w:rPr>
        <w:t>Obras completas</w:t>
      </w:r>
      <w:r w:rsidRPr="00580584">
        <w:rPr>
          <w:rStyle w:val="Fuentedeprrafopredeter1"/>
          <w:rFonts w:ascii="Times New Roman" w:hAnsi="Times New Roman" w:cs="Times New Roman"/>
        </w:rPr>
        <w:t>:</w:t>
      </w:r>
    </w:p>
    <w:p w14:paraId="16B9F8C8" w14:textId="77777777" w:rsidR="00957148" w:rsidRPr="00580584" w:rsidRDefault="00957148" w:rsidP="00957148">
      <w:pPr>
        <w:pStyle w:val="Paragrafoelenco"/>
        <w:numPr>
          <w:ilvl w:val="0"/>
          <w:numId w:val="2"/>
        </w:numPr>
        <w:rPr>
          <w:rStyle w:val="Fuentedeprrafopredeter1"/>
          <w:rFonts w:ascii="Times New Roman" w:hAnsi="Times New Roman" w:cs="Times New Roman"/>
        </w:rPr>
      </w:pPr>
      <w:r w:rsidRPr="00580584">
        <w:rPr>
          <w:rStyle w:val="Fuentedeprrafopredeter1"/>
          <w:rFonts w:ascii="Times New Roman" w:hAnsi="Times New Roman" w:cs="Times New Roman"/>
        </w:rPr>
        <w:t xml:space="preserve">Ensayos literarios: </w:t>
      </w:r>
      <w:r w:rsidRPr="00580584">
        <w:rPr>
          <w:rStyle w:val="Fuentedeprrafopredeter1"/>
          <w:rFonts w:ascii="Times New Roman" w:hAnsi="Times New Roman" w:cs="Times New Roman"/>
          <w:i/>
          <w:iCs/>
        </w:rPr>
        <w:t>La búsqueda de interlocutor</w:t>
      </w:r>
      <w:r w:rsidRPr="00580584">
        <w:rPr>
          <w:rStyle w:val="Fuentedeprrafopredeter1"/>
          <w:rFonts w:ascii="Times New Roman" w:hAnsi="Times New Roman" w:cs="Times New Roman"/>
        </w:rPr>
        <w:t xml:space="preserve"> (edición definitiva de 2000), </w:t>
      </w:r>
      <w:r w:rsidRPr="00580584">
        <w:rPr>
          <w:rStyle w:val="Fuentedeprrafopredeter1"/>
          <w:rFonts w:ascii="Times New Roman" w:hAnsi="Times New Roman" w:cs="Times New Roman"/>
          <w:i/>
          <w:iCs/>
        </w:rPr>
        <w:t xml:space="preserve">El cuento de nunca acabar </w:t>
      </w:r>
      <w:r w:rsidRPr="00580584">
        <w:rPr>
          <w:rStyle w:val="Fuentedeprrafopredeter1"/>
          <w:rFonts w:ascii="Times New Roman" w:hAnsi="Times New Roman" w:cs="Times New Roman"/>
        </w:rPr>
        <w:t xml:space="preserve">(1983), </w:t>
      </w:r>
      <w:r w:rsidRPr="00580584">
        <w:rPr>
          <w:rStyle w:val="Fuentedeprrafopredeter1"/>
          <w:rFonts w:ascii="Times New Roman" w:hAnsi="Times New Roman" w:cs="Times New Roman"/>
          <w:i/>
          <w:iCs/>
        </w:rPr>
        <w:t xml:space="preserve">Desde la ventana </w:t>
      </w:r>
      <w:r w:rsidRPr="00580584">
        <w:rPr>
          <w:rStyle w:val="Fuentedeprrafopredeter1"/>
          <w:rFonts w:ascii="Times New Roman" w:hAnsi="Times New Roman" w:cs="Times New Roman"/>
        </w:rPr>
        <w:t xml:space="preserve">(1987), </w:t>
      </w:r>
      <w:r w:rsidRPr="00580584">
        <w:rPr>
          <w:rStyle w:val="Fuentedeprrafopredeter1"/>
          <w:rFonts w:ascii="Times New Roman" w:hAnsi="Times New Roman" w:cs="Times New Roman"/>
          <w:i/>
          <w:iCs/>
        </w:rPr>
        <w:t>Agua pasada</w:t>
      </w:r>
      <w:r w:rsidRPr="00580584">
        <w:rPr>
          <w:rStyle w:val="Fuentedeprrafopredeter1"/>
          <w:rFonts w:ascii="Times New Roman" w:hAnsi="Times New Roman" w:cs="Times New Roman"/>
        </w:rPr>
        <w:t xml:space="preserve"> (1993) y </w:t>
      </w:r>
      <w:r w:rsidRPr="00580584">
        <w:rPr>
          <w:rStyle w:val="Fuentedeprrafopredeter1"/>
          <w:rFonts w:ascii="Times New Roman" w:hAnsi="Times New Roman" w:cs="Times New Roman"/>
          <w:i/>
          <w:iCs/>
        </w:rPr>
        <w:t xml:space="preserve">Esperando el porvenir </w:t>
      </w:r>
      <w:r w:rsidRPr="00580584">
        <w:rPr>
          <w:rStyle w:val="Fuentedeprrafopredeter1"/>
          <w:rFonts w:ascii="Times New Roman" w:hAnsi="Times New Roman" w:cs="Times New Roman"/>
        </w:rPr>
        <w:t xml:space="preserve">(1994). </w:t>
      </w:r>
    </w:p>
    <w:p w14:paraId="7789E04D" w14:textId="77777777" w:rsidR="00957148" w:rsidRPr="00580584" w:rsidRDefault="00957148" w:rsidP="00957148">
      <w:pPr>
        <w:pStyle w:val="Paragrafoelenco"/>
        <w:numPr>
          <w:ilvl w:val="0"/>
          <w:numId w:val="2"/>
        </w:numPr>
        <w:rPr>
          <w:rStyle w:val="Fuentedeprrafopredeter1"/>
          <w:rFonts w:ascii="Times New Roman" w:hAnsi="Times New Roman" w:cs="Times New Roman"/>
        </w:rPr>
      </w:pPr>
      <w:r w:rsidRPr="00580584">
        <w:rPr>
          <w:rStyle w:val="Fuentedeprrafopredeter1"/>
          <w:rFonts w:ascii="Times New Roman" w:hAnsi="Times New Roman" w:cs="Times New Roman"/>
        </w:rPr>
        <w:t xml:space="preserve">Ensayos de investigación histórica: </w:t>
      </w:r>
      <w:r w:rsidRPr="00580584">
        <w:rPr>
          <w:rStyle w:val="Fuentedeprrafopredeter1"/>
          <w:rFonts w:ascii="Times New Roman" w:hAnsi="Times New Roman" w:cs="Times New Roman"/>
          <w:i/>
          <w:iCs/>
        </w:rPr>
        <w:t>El proceso de Macanaz</w:t>
      </w:r>
      <w:r w:rsidRPr="00580584">
        <w:rPr>
          <w:rStyle w:val="Fuentedeprrafopredeter1"/>
          <w:rFonts w:ascii="Times New Roman" w:hAnsi="Times New Roman" w:cs="Times New Roman"/>
        </w:rPr>
        <w:t xml:space="preserve"> (1969), </w:t>
      </w:r>
      <w:r w:rsidRPr="00580584">
        <w:rPr>
          <w:rStyle w:val="Fuentedeprrafopredeter1"/>
          <w:rFonts w:ascii="Times New Roman" w:hAnsi="Times New Roman" w:cs="Times New Roman"/>
          <w:i/>
          <w:iCs/>
        </w:rPr>
        <w:t>Usos amorosos del dieciocho en España</w:t>
      </w:r>
      <w:r w:rsidRPr="00580584">
        <w:rPr>
          <w:rStyle w:val="Fuentedeprrafopredeter1"/>
          <w:rFonts w:ascii="Times New Roman" w:hAnsi="Times New Roman" w:cs="Times New Roman"/>
        </w:rPr>
        <w:t xml:space="preserve"> (1972), </w:t>
      </w:r>
      <w:r w:rsidRPr="00580584">
        <w:rPr>
          <w:rStyle w:val="Fuentedeprrafopredeter1"/>
          <w:rFonts w:ascii="Times New Roman" w:hAnsi="Times New Roman" w:cs="Times New Roman"/>
          <w:i/>
          <w:iCs/>
        </w:rPr>
        <w:t>El conde de Guadalhorce, su época y su labor</w:t>
      </w:r>
      <w:r w:rsidRPr="00580584">
        <w:rPr>
          <w:rStyle w:val="Fuentedeprrafopredeter1"/>
          <w:rFonts w:ascii="Times New Roman" w:hAnsi="Times New Roman" w:cs="Times New Roman"/>
        </w:rPr>
        <w:t xml:space="preserve"> (1977) y </w:t>
      </w:r>
      <w:r w:rsidRPr="00580584">
        <w:rPr>
          <w:rStyle w:val="Fuentedeprrafopredeter1"/>
          <w:rFonts w:ascii="Times New Roman" w:hAnsi="Times New Roman" w:cs="Times New Roman"/>
          <w:i/>
          <w:iCs/>
        </w:rPr>
        <w:t>Usos amorosos de la postguerra española</w:t>
      </w:r>
      <w:r w:rsidRPr="00580584">
        <w:rPr>
          <w:rStyle w:val="Fuentedeprrafopredeter1"/>
          <w:rFonts w:ascii="Times New Roman" w:hAnsi="Times New Roman" w:cs="Times New Roman"/>
        </w:rPr>
        <w:t xml:space="preserve"> (1987). </w:t>
      </w:r>
    </w:p>
    <w:p w14:paraId="7F6EED65" w14:textId="77777777" w:rsidR="00957148" w:rsidRPr="00580584" w:rsidRDefault="00957148" w:rsidP="00957148">
      <w:pPr>
        <w:pStyle w:val="Paragrafoelenco"/>
        <w:numPr>
          <w:ilvl w:val="0"/>
          <w:numId w:val="2"/>
        </w:numPr>
        <w:rPr>
          <w:rStyle w:val="Fuentedeprrafopredeter1"/>
          <w:rFonts w:ascii="Times New Roman" w:hAnsi="Times New Roman" w:cs="Times New Roman"/>
        </w:rPr>
      </w:pPr>
      <w:r w:rsidRPr="00580584">
        <w:rPr>
          <w:rStyle w:val="Fuentedeprrafopredeter1"/>
          <w:rFonts w:ascii="Times New Roman" w:hAnsi="Times New Roman" w:cs="Times New Roman"/>
        </w:rPr>
        <w:t xml:space="preserve">Artículos de crítica literaria y de opinión; conferencias y discursos; ensayos breves (prólogos, evocaciones y semblanzas). </w:t>
      </w:r>
    </w:p>
    <w:p w14:paraId="5D962C9B" w14:textId="77777777" w:rsidR="00957148" w:rsidRPr="00580584" w:rsidRDefault="00957148" w:rsidP="00957148">
      <w:pPr>
        <w:pStyle w:val="Paragrafoelenco"/>
        <w:numPr>
          <w:ilvl w:val="0"/>
          <w:numId w:val="2"/>
        </w:numPr>
        <w:pBdr>
          <w:bottom w:val="single" w:sz="6" w:space="1" w:color="auto"/>
        </w:pBdr>
        <w:rPr>
          <w:rStyle w:val="Enfasigrassetto"/>
          <w:rFonts w:ascii="Times New Roman" w:hAnsi="Times New Roman" w:cs="Times New Roman"/>
          <w:b w:val="0"/>
          <w:bCs w:val="0"/>
        </w:rPr>
      </w:pPr>
      <w:r w:rsidRPr="00580584">
        <w:rPr>
          <w:rStyle w:val="Fuentedeprrafopredeter1"/>
          <w:rFonts w:ascii="Times New Roman" w:hAnsi="Times New Roman" w:cs="Times New Roman"/>
        </w:rPr>
        <w:t xml:space="preserve">Escritura del yo y textos personales: </w:t>
      </w:r>
      <w:r w:rsidRPr="00580584">
        <w:rPr>
          <w:rStyle w:val="Fuentedeprrafopredeter1"/>
          <w:rFonts w:ascii="Times New Roman" w:hAnsi="Times New Roman" w:cs="Times New Roman"/>
          <w:i/>
          <w:iCs/>
        </w:rPr>
        <w:t>Cuadernos de todo</w:t>
      </w:r>
      <w:r w:rsidRPr="00580584">
        <w:rPr>
          <w:rStyle w:val="Fuentedeprrafopredeter1"/>
          <w:rFonts w:ascii="Times New Roman" w:hAnsi="Times New Roman" w:cs="Times New Roman"/>
        </w:rPr>
        <w:t xml:space="preserve"> (2002; 2019), </w:t>
      </w:r>
      <w:r w:rsidRPr="00580584">
        <w:rPr>
          <w:rStyle w:val="Fuentedeprrafopredeter1"/>
          <w:rFonts w:ascii="Times New Roman" w:hAnsi="Times New Roman" w:cs="Times New Roman"/>
          <w:i/>
          <w:iCs/>
        </w:rPr>
        <w:t>Vision of New York</w:t>
      </w:r>
      <w:r w:rsidRPr="00580584">
        <w:rPr>
          <w:rStyle w:val="Fuentedeprrafopredeter1"/>
          <w:rFonts w:ascii="Times New Roman" w:hAnsi="Times New Roman" w:cs="Times New Roman"/>
        </w:rPr>
        <w:t xml:space="preserve"> (2005), agendas y correspondencia epistolar. </w:t>
      </w:r>
    </w:p>
    <w:p w14:paraId="4390D8BC" w14:textId="77777777" w:rsidR="00957148" w:rsidRPr="00957148" w:rsidRDefault="00957148" w:rsidP="00957148">
      <w:pPr>
        <w:rPr>
          <w:rFonts w:ascii="Times New Roman" w:hAnsi="Times New Roman" w:cs="Times New Roman"/>
        </w:rPr>
      </w:pPr>
    </w:p>
    <w:sectPr w:rsidR="00957148" w:rsidRPr="009571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7193"/>
    <w:multiLevelType w:val="hybridMultilevel"/>
    <w:tmpl w:val="178E1882"/>
    <w:lvl w:ilvl="0" w:tplc="95FEE060">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CA29AD"/>
    <w:multiLevelType w:val="hybridMultilevel"/>
    <w:tmpl w:val="21EA51B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089738936">
    <w:abstractNumId w:val="0"/>
  </w:num>
  <w:num w:numId="2" w16cid:durableId="349570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48"/>
    <w:rsid w:val="001F74C1"/>
    <w:rsid w:val="00957148"/>
    <w:rsid w:val="009B3C74"/>
    <w:rsid w:val="00BB26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C8B0"/>
  <w15:chartTrackingRefBased/>
  <w15:docId w15:val="{7ADD016C-12F3-419E-A7B7-9129AB7A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7148"/>
    <w:pPr>
      <w:jc w:val="both"/>
    </w:pPr>
    <w:rPr>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7148"/>
    <w:pPr>
      <w:ind w:left="720"/>
      <w:contextualSpacing/>
    </w:pPr>
  </w:style>
  <w:style w:type="character" w:customStyle="1" w:styleId="Fuentedeprrafopredeter1">
    <w:name w:val="Fuente de párrafo predeter.1"/>
    <w:rsid w:val="00957148"/>
  </w:style>
  <w:style w:type="character" w:styleId="Enfasigrassetto">
    <w:name w:val="Strong"/>
    <w:basedOn w:val="Carpredefinitoparagrafo"/>
    <w:uiPriority w:val="22"/>
    <w:qFormat/>
    <w:rsid w:val="00957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834</Words>
  <Characters>4688</Characters>
  <Application>Microsoft Office Word</Application>
  <DocSecurity>0</DocSecurity>
  <Lines>63</Lines>
  <Paragraphs>9</Paragraphs>
  <ScaleCrop>false</ScaleCrop>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Londero</dc:creator>
  <cp:keywords/>
  <dc:description/>
  <cp:lastModifiedBy>Marco Ottaiano</cp:lastModifiedBy>
  <cp:revision>2</cp:revision>
  <dcterms:created xsi:type="dcterms:W3CDTF">2023-01-21T09:02:00Z</dcterms:created>
  <dcterms:modified xsi:type="dcterms:W3CDTF">2023-01-21T09:02:00Z</dcterms:modified>
</cp:coreProperties>
</file>